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6534">
      <w:pPr>
        <w:rPr>
          <w:rFonts w:hint="eastAsia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Figure legend</w:t>
      </w:r>
    </w:p>
    <w:p w14:paraId="49929AD5"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Figure S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eastAsia="宋体" w:cs="Times New Roman"/>
          <w:sz w:val="24"/>
          <w:szCs w:val="24"/>
        </w:rPr>
        <w:t xml:space="preserve">(A) Quantitative PCR (qPCR) analysis showing the relative expression levels of the indicated genes. Data are presented as mean ± SEM from three independent experiments. Statistical significance was determined using Student's 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t</w:t>
      </w:r>
      <w:r>
        <w:rPr>
          <w:rFonts w:ascii="Times New Roman" w:hAnsi="Times New Roman" w:eastAsia="宋体" w:cs="Times New Roman"/>
          <w:sz w:val="24"/>
          <w:szCs w:val="24"/>
        </w:rPr>
        <w:t>-test,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hint="eastAsia"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≥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0.05</w:t>
      </w:r>
      <w:r>
        <w:rPr>
          <w:rFonts w:ascii="Times New Roman" w:hAnsi="Times New Roman" w:cs="Times New Roman"/>
          <w:i w:val="0"/>
          <w:iCs w:val="0"/>
        </w:rPr>
        <w:t>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**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ascii="Times New Roman" w:hAnsi="Times New Roman" w:eastAsia="宋体" w:cs="Times New Roman"/>
          <w:sz w:val="24"/>
          <w:szCs w:val="24"/>
        </w:rPr>
        <w:t>&lt; 0.01,</w:t>
      </w:r>
      <w:r>
        <w:rPr>
          <w:rFonts w:ascii="Times New Roman" w:hAnsi="Times New Roman" w:cs="Times New Roman"/>
        </w:rPr>
        <w:t xml:space="preserve"> </w:t>
      </w:r>
      <w:bookmarkStart w:id="0" w:name="_Hlk183202981"/>
      <w:r>
        <w:rPr>
          <w:rFonts w:ascii="Times New Roman" w:hAnsi="Times New Roman" w:eastAsia="宋体" w:cs="Times New Roman"/>
          <w:sz w:val="24"/>
          <w:szCs w:val="24"/>
        </w:rPr>
        <w:t>***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ascii="Times New Roman" w:hAnsi="Times New Roman" w:eastAsia="宋体" w:cs="Times New Roman"/>
          <w:sz w:val="24"/>
          <w:szCs w:val="24"/>
        </w:rPr>
        <w:t>&lt; 0.001</w:t>
      </w:r>
      <w:bookmarkEnd w:id="0"/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****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ascii="Times New Roman" w:hAnsi="Times New Roman" w:eastAsia="宋体" w:cs="Times New Roman"/>
          <w:sz w:val="24"/>
          <w:szCs w:val="24"/>
        </w:rPr>
        <w:t>&lt; 0.0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</w:t>
      </w:r>
      <w:bookmarkStart w:id="1" w:name="_GoBack"/>
      <w:bookmarkEnd w:id="1"/>
      <w:r>
        <w:rPr>
          <w:rFonts w:ascii="Times New Roman" w:hAnsi="Times New Roman" w:eastAsia="宋体" w:cs="Times New Roman"/>
          <w:sz w:val="24"/>
          <w:szCs w:val="24"/>
        </w:rPr>
        <w:t>01. (B) Expression levels of the KHSRP gene in different pathological grades of gastric cancer. Data are presented as mean ± SEM. Statistical comparisons between groups were performed using one-way ANOVA. (C) Representative images of Transwell migration and invasion assays. Migrated and invaded cells were stained and imaged under a light microscope. (D) Quantitative analysis of Transwell migration and invasion experiments. The number of migrated and invaded cells was quantified from three independent experiments and presented as mean ± SEM. ***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</w:t>
      </w:r>
      <w:r>
        <w:rPr>
          <w:rFonts w:ascii="Times New Roman" w:hAnsi="Times New Roman" w:eastAsia="宋体" w:cs="Times New Roman"/>
          <w:sz w:val="24"/>
          <w:szCs w:val="24"/>
        </w:rPr>
        <w:t>&lt; 0.001.(E) Flow cytometry gating strategy for cell sorting. Gated populations represent the subsets used in downstream analysis.</w:t>
      </w:r>
    </w:p>
    <w:p w14:paraId="4AF26770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97FBD"/>
    <w:rsid w:val="06297FBD"/>
    <w:rsid w:val="189F2451"/>
    <w:rsid w:val="23C931D3"/>
    <w:rsid w:val="6144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character" w:styleId="5">
    <w:name w:val="annotation reference"/>
    <w:basedOn w:val="4"/>
    <w:semiHidden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844</Characters>
  <Lines>0</Lines>
  <Paragraphs>0</Paragraphs>
  <TotalTime>0</TotalTime>
  <ScaleCrop>false</ScaleCrop>
  <LinksUpToDate>false</LinksUpToDate>
  <CharactersWithSpaces>983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2024-11-27T06:25:00Z</dcterms:created>
  <dc:creator>Mia</dc:creator>
  <cp:lastModifiedBy>Mia</cp:lastModifiedBy>
  <dcterms:modified xsi:type="dcterms:W3CDTF">2024-11-28T08:10:38Z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C564C0E8B3C54D7EBFB9B36781C9EEB8_13</vt:lpwstr>
  </property>
</Properties>
</file>